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wordWrap w:val="0"/>
        <w:spacing w:before="0" w:beforeAutospacing="0" w:after="0" w:afterAutospacing="0" w:line="580" w:lineRule="atLeast"/>
        <w:ind w:right="0"/>
        <w:rPr>
          <w:rFonts w:hint="default" w:ascii="方正仿宋_gbk" w:hAnsi="方正仿宋_gbk" w:eastAsia="方正仿宋_gbk" w:cs="方正仿宋_gbk"/>
          <w:i w:val="0"/>
          <w:iCs w:val="0"/>
          <w:caps w:val="0"/>
          <w:color w:val="000000"/>
          <w:spacing w:val="0"/>
          <w:sz w:val="32"/>
          <w:szCs w:val="32"/>
          <w:lang w:val="en-US" w:eastAsia="zh-CN" w:bidi="ar"/>
        </w:rPr>
      </w:pPr>
      <w:r>
        <w:rPr>
          <w:rFonts w:hint="eastAsia" w:ascii="方正仿宋_gbk" w:hAnsi="方正仿宋_gbk" w:eastAsia="方正仿宋_gbk" w:cs="方正仿宋_gbk"/>
          <w:i w:val="0"/>
          <w:iCs w:val="0"/>
          <w:caps w:val="0"/>
          <w:color w:val="000000"/>
          <w:spacing w:val="0"/>
          <w:sz w:val="32"/>
          <w:szCs w:val="32"/>
          <w:lang w:val="en-US" w:eastAsia="zh-CN" w:bidi="ar"/>
        </w:rPr>
        <w:t>附件2：</w:t>
      </w:r>
    </w:p>
    <w:p>
      <w:pPr>
        <w:jc w:val="center"/>
        <w:rPr>
          <w:rFonts w:hint="eastAsia" w:ascii="宋体" w:hAnsi="宋体" w:eastAsia="宋体" w:cs="宋体"/>
          <w:i w:val="0"/>
          <w:iCs w:val="0"/>
          <w:caps w:val="0"/>
          <w:color w:val="000000"/>
          <w:spacing w:val="0"/>
          <w:sz w:val="36"/>
          <w:szCs w:val="36"/>
          <w:shd w:val="clear" w:color="auto" w:fill="FFFFFF"/>
          <w:lang w:val="en-US" w:eastAsia="zh-CN"/>
        </w:rPr>
      </w:pPr>
      <w:r>
        <w:rPr>
          <w:rFonts w:hint="eastAsia" w:ascii="宋体" w:hAnsi="宋体" w:eastAsia="宋体" w:cs="宋体"/>
          <w:i w:val="0"/>
          <w:iCs w:val="0"/>
          <w:caps w:val="0"/>
          <w:color w:val="000000"/>
          <w:spacing w:val="0"/>
          <w:sz w:val="36"/>
          <w:szCs w:val="36"/>
          <w:shd w:val="clear" w:color="auto" w:fill="FFFFFF"/>
          <w:lang w:val="en-US" w:eastAsia="zh-CN"/>
        </w:rPr>
        <w:t>国家税务总局关于办理2022年度个人所得税综合所得汇算清缴事项的公告</w:t>
      </w:r>
    </w:p>
    <w:p>
      <w:pPr>
        <w:jc w:val="center"/>
        <w:rPr>
          <w:rFonts w:hint="eastAsia" w:ascii="华文仿宋" w:hAnsi="华文仿宋" w:eastAsia="华文仿宋" w:cs="华文仿宋"/>
          <w:b/>
          <w:bCs/>
          <w:i w:val="0"/>
          <w:caps w:val="0"/>
          <w:color w:val="auto"/>
          <w:spacing w:val="0"/>
          <w:sz w:val="31"/>
          <w:szCs w:val="31"/>
          <w:lang w:val="en-US" w:eastAsia="zh-CN"/>
        </w:rPr>
      </w:pPr>
      <w:r>
        <w:rPr>
          <w:rFonts w:hint="eastAsia" w:ascii="华文仿宋" w:hAnsi="华文仿宋" w:eastAsia="华文仿宋" w:cs="华文仿宋"/>
          <w:b/>
          <w:bCs/>
          <w:i w:val="0"/>
          <w:caps w:val="0"/>
          <w:color w:val="auto"/>
          <w:spacing w:val="0"/>
          <w:sz w:val="31"/>
          <w:szCs w:val="31"/>
          <w:lang w:val="en-US" w:eastAsia="zh-CN"/>
        </w:rPr>
        <w:t>国家税务总局公告2023年第3号</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根据个人所得税法及其实施条例、税收征收管理法及其实施细则等有关规定，现就办理2022年度个人所得税综合所得汇算清缴（以下简称汇算）有关事项公告如下：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both"/>
        <w:rPr>
          <w:rFonts w:hint="eastAsia" w:ascii="黑体" w:hAnsi="黑体" w:eastAsia="黑体" w:cs="黑体"/>
          <w:i w:val="0"/>
          <w:iCs w:val="0"/>
          <w:caps w:val="0"/>
          <w:color w:val="333333"/>
          <w:spacing w:val="0"/>
          <w:sz w:val="32"/>
          <w:szCs w:val="32"/>
        </w:rPr>
      </w:pPr>
      <w:r>
        <w:rPr>
          <w:rStyle w:val="5"/>
          <w:rFonts w:hint="eastAsia" w:ascii="黑体" w:hAnsi="黑体" w:eastAsia="黑体" w:cs="黑体"/>
          <w:i w:val="0"/>
          <w:iCs w:val="0"/>
          <w:caps w:val="0"/>
          <w:color w:val="333333"/>
          <w:spacing w:val="0"/>
          <w:sz w:val="32"/>
          <w:szCs w:val="32"/>
          <w:shd w:val="clear" w:fill="FFFFFF"/>
        </w:rPr>
        <w:t>一、汇算的主要内容</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2022年度终了后，居民个人（以下称纳税人）需要汇总2022年1月1日至12月31日取得的工资薪金、劳务报酬、稿酬、特许权使用费等四项综合所得的收入额，减除费用6万元以及专项扣除、专项附加扣除、依法确定的其他扣除和符合条件的公益慈善事业捐赠后，适用综合所得个人所得税税率并减去速算扣除数（税率表见附件），计算最终应纳税额，再减去2022年已预缴税额，得出应退或应补税额，向税务机关申报并办理退税或补税。具体计算公式如下：</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应退或应补税额=[（综合所得收入额-60000元-“三险一金”等专项扣除-子女教育等专项附加扣除-依法确定的其他扣除-符合条件的公益慈善事业捐赠）×适用税率-速算扣除数]-已预缴税额</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汇算不涉及纳税人的财产租赁等分类所得，以及按规定不并入综合所得计算纳税的所得。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both"/>
        <w:rPr>
          <w:rStyle w:val="5"/>
          <w:rFonts w:hint="eastAsia" w:ascii="黑体" w:hAnsi="黑体" w:eastAsia="黑体" w:cs="黑体"/>
          <w:i w:val="0"/>
          <w:iCs w:val="0"/>
          <w:caps w:val="0"/>
          <w:color w:val="333333"/>
          <w:spacing w:val="0"/>
          <w:sz w:val="32"/>
          <w:szCs w:val="32"/>
          <w:shd w:val="clear" w:fill="FFFFFF"/>
        </w:rPr>
      </w:pPr>
      <w:r>
        <w:rPr>
          <w:rStyle w:val="5"/>
          <w:rFonts w:hint="eastAsia" w:ascii="黑体" w:hAnsi="黑体" w:eastAsia="黑体" w:cs="黑体"/>
          <w:i w:val="0"/>
          <w:iCs w:val="0"/>
          <w:caps w:val="0"/>
          <w:color w:val="333333"/>
          <w:spacing w:val="0"/>
          <w:sz w:val="32"/>
          <w:szCs w:val="32"/>
          <w:shd w:val="clear" w:fill="FFFFFF"/>
        </w:rPr>
        <w:t>二、无需办理汇算的情形</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纳税人在2022年已依法预缴个人所得税且符合下列情形之一的，无需办理汇算：</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（一）汇算需补税但综合所得收入全年不超过12万元的；</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（二）汇算需补税金额不超过400元的；</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（三）已预缴税额与汇算应纳税额一致的；</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（四）符合汇算退税条件但不申请退税的。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both"/>
        <w:rPr>
          <w:rStyle w:val="5"/>
          <w:rFonts w:hint="eastAsia" w:ascii="黑体" w:hAnsi="黑体" w:eastAsia="黑体" w:cs="黑体"/>
          <w:i w:val="0"/>
          <w:iCs w:val="0"/>
          <w:caps w:val="0"/>
          <w:color w:val="333333"/>
          <w:spacing w:val="0"/>
          <w:sz w:val="32"/>
          <w:szCs w:val="32"/>
          <w:shd w:val="clear" w:fill="FFFFFF"/>
        </w:rPr>
      </w:pPr>
      <w:r>
        <w:rPr>
          <w:rStyle w:val="5"/>
          <w:rFonts w:hint="eastAsia" w:ascii="黑体" w:hAnsi="黑体" w:eastAsia="黑体" w:cs="黑体"/>
          <w:i w:val="0"/>
          <w:iCs w:val="0"/>
          <w:caps w:val="0"/>
          <w:color w:val="333333"/>
          <w:spacing w:val="0"/>
          <w:sz w:val="32"/>
          <w:szCs w:val="32"/>
          <w:shd w:val="clear" w:fill="FFFFFF"/>
        </w:rPr>
        <w:t>三、需要办理汇算的情形</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符合下列情形之一的，纳税人需办理汇算：</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（一）已预缴税额大于汇算应纳税额且申请退税的；</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（二）2022年取得的综合所得收入超过12万元且汇算需要补税金额超过400元的。</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lang w:val="en-US" w:eastAsia="zh-CN" w:bidi="ar"/>
        </w:rPr>
        <w:t>因适用所得项目错误或者扣缴义务人未依法履行扣缴义务，造成2022年少申报或者未申报综合所得的，纳税人应当依法据实办理汇算。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both"/>
        <w:rPr>
          <w:rStyle w:val="5"/>
          <w:rFonts w:hint="eastAsia" w:ascii="黑体" w:hAnsi="黑体" w:eastAsia="黑体" w:cs="黑体"/>
          <w:i w:val="0"/>
          <w:iCs w:val="0"/>
          <w:caps w:val="0"/>
          <w:color w:val="333333"/>
          <w:spacing w:val="0"/>
          <w:sz w:val="32"/>
          <w:szCs w:val="32"/>
          <w:shd w:val="clear" w:fill="FFFFFF"/>
        </w:rPr>
      </w:pPr>
      <w:r>
        <w:rPr>
          <w:rStyle w:val="5"/>
          <w:rFonts w:hint="eastAsia" w:ascii="黑体" w:hAnsi="黑体" w:eastAsia="黑体" w:cs="黑体"/>
          <w:i w:val="0"/>
          <w:iCs w:val="0"/>
          <w:caps w:val="0"/>
          <w:color w:val="333333"/>
          <w:spacing w:val="0"/>
          <w:sz w:val="32"/>
          <w:szCs w:val="32"/>
          <w:shd w:val="clear" w:fill="FFFFFF"/>
        </w:rPr>
        <w:t>四、可享受的税前扣除</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下列在2022年发生的税前扣除，纳税人可在汇算期间填报或补充扣除：</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（一）纳税人及其配偶、未成年子女符合条件的大病医疗支出；</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（二）符合条件的3岁以下婴幼儿照护、子女教育、继续教育、住房贷款利息或住房租金、赡养老人等专项附加扣除，以及减除费用、专项扣除、依法确定的其他扣除；</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（三）符合条件的公益慈善事业捐赠；</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（四）符合条件的个人养老金扣除。</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同时取得综合所得和经营所得的纳税人，可在综合所得或经营所得中申报减除费用6万元、专项扣除、专项附加扣除以及依法确定的其他扣除，但不得重复申报减除。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both"/>
        <w:rPr>
          <w:rStyle w:val="5"/>
          <w:rFonts w:hint="eastAsia" w:ascii="黑体" w:hAnsi="黑体" w:eastAsia="黑体" w:cs="黑体"/>
          <w:i w:val="0"/>
          <w:iCs w:val="0"/>
          <w:caps w:val="0"/>
          <w:color w:val="333333"/>
          <w:spacing w:val="0"/>
          <w:sz w:val="32"/>
          <w:szCs w:val="32"/>
          <w:shd w:val="clear" w:fill="FFFFFF"/>
        </w:rPr>
      </w:pPr>
      <w:r>
        <w:rPr>
          <w:rStyle w:val="5"/>
          <w:rFonts w:hint="eastAsia" w:ascii="黑体" w:hAnsi="黑体" w:eastAsia="黑体" w:cs="黑体"/>
          <w:i w:val="0"/>
          <w:iCs w:val="0"/>
          <w:caps w:val="0"/>
          <w:color w:val="333333"/>
          <w:spacing w:val="0"/>
          <w:sz w:val="32"/>
          <w:szCs w:val="32"/>
          <w:shd w:val="clear" w:fill="FFFFFF"/>
        </w:rPr>
        <w:t>五、办理时间</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2022年度汇算办理时间为2023年3月1日至6月30日。在中国境内无住所的纳税人在3月1日前离境的，可以在离境前办理。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both"/>
        <w:rPr>
          <w:rStyle w:val="5"/>
          <w:rFonts w:hint="eastAsia" w:ascii="黑体" w:hAnsi="黑体" w:eastAsia="黑体" w:cs="黑体"/>
          <w:i w:val="0"/>
          <w:iCs w:val="0"/>
          <w:caps w:val="0"/>
          <w:color w:val="333333"/>
          <w:spacing w:val="0"/>
          <w:sz w:val="32"/>
          <w:szCs w:val="32"/>
          <w:shd w:val="clear" w:fill="FFFFFF"/>
        </w:rPr>
      </w:pPr>
      <w:r>
        <w:rPr>
          <w:rStyle w:val="5"/>
          <w:rFonts w:hint="eastAsia" w:ascii="黑体" w:hAnsi="黑体" w:eastAsia="黑体" w:cs="黑体"/>
          <w:i w:val="0"/>
          <w:iCs w:val="0"/>
          <w:caps w:val="0"/>
          <w:color w:val="333333"/>
          <w:spacing w:val="0"/>
          <w:sz w:val="32"/>
          <w:szCs w:val="32"/>
          <w:shd w:val="clear" w:fill="FFFFFF"/>
        </w:rPr>
        <w:t>六、办理方式</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纳税人可自主选择下列办理方式：</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（一）自行办理。</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（二）通过任职受雇单位（含按累计预扣法预扣预缴其劳务报酬所得个人所得税的单位）代为办理。</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纳税人提出代办要求的，单位应当代为办理，或者培训、辅导纳税人完成汇算申报和退（补）税。</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由单位代为办理的，纳税人应在2023年4月30日前与单位以书面或者电子等方式进行确认，补充提供2022年在本单位以外取得的综合所得收入、相关扣除、享受税收优惠等信息资料，并对所提交信息的真实性、准确性、完整性负责。纳税人未与单位确认请其代为办理的，单位不得代办。</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（三）委托受托人（含涉税专业服务机构或其他单位及个人）办理，纳税人需与受托人签订授权书。</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单位或受托人为纳税人办理汇算后，应当及时将办理情况告知纳税人。纳税人发现汇算申报信息存在错误的，可以要求单位或受托人更正申报，也可自行更正申报。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both"/>
        <w:rPr>
          <w:rStyle w:val="5"/>
          <w:rFonts w:hint="eastAsia" w:ascii="黑体" w:hAnsi="黑体" w:eastAsia="黑体" w:cs="黑体"/>
          <w:i w:val="0"/>
          <w:iCs w:val="0"/>
          <w:caps w:val="0"/>
          <w:color w:val="333333"/>
          <w:spacing w:val="0"/>
          <w:sz w:val="32"/>
          <w:szCs w:val="32"/>
          <w:shd w:val="clear" w:fill="FFFFFF"/>
        </w:rPr>
      </w:pPr>
      <w:r>
        <w:rPr>
          <w:rStyle w:val="5"/>
          <w:rFonts w:hint="eastAsia" w:ascii="黑体" w:hAnsi="黑体" w:eastAsia="黑体" w:cs="黑体"/>
          <w:i w:val="0"/>
          <w:iCs w:val="0"/>
          <w:caps w:val="0"/>
          <w:color w:val="333333"/>
          <w:spacing w:val="0"/>
          <w:sz w:val="32"/>
          <w:szCs w:val="32"/>
          <w:shd w:val="clear" w:fill="FFFFFF"/>
        </w:rPr>
        <w:t>七、办理渠道</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为便利纳税人，税务机关为纳税人提供高效、快捷的网络办税渠道。纳税人可优先通过手机个人所得税 APP、自然人电子税务局网站办理汇算，税务机关将为纳税人提供申报表项目预填服务；不方便通过上述方式办理的，也可以通过邮寄方式或到办税服务厅办理。</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选择邮寄申报的，纳税人需将申报表寄送至按本公告第九条确定的主管税务机关所在省、自治区、直辖市和计划单列市税务局公告的地址。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both"/>
        <w:rPr>
          <w:rStyle w:val="5"/>
          <w:rFonts w:hint="eastAsia" w:ascii="黑体" w:hAnsi="黑体" w:eastAsia="黑体" w:cs="黑体"/>
          <w:i w:val="0"/>
          <w:iCs w:val="0"/>
          <w:caps w:val="0"/>
          <w:color w:val="333333"/>
          <w:spacing w:val="0"/>
          <w:sz w:val="32"/>
          <w:szCs w:val="32"/>
          <w:shd w:val="clear" w:fill="FFFFFF"/>
        </w:rPr>
      </w:pPr>
      <w:r>
        <w:rPr>
          <w:rStyle w:val="5"/>
          <w:rFonts w:hint="eastAsia" w:ascii="黑体" w:hAnsi="黑体" w:eastAsia="黑体" w:cs="黑体"/>
          <w:i w:val="0"/>
          <w:iCs w:val="0"/>
          <w:caps w:val="0"/>
          <w:color w:val="333333"/>
          <w:spacing w:val="0"/>
          <w:sz w:val="32"/>
          <w:szCs w:val="32"/>
          <w:shd w:val="clear" w:fill="FFFFFF"/>
        </w:rPr>
        <w:t>八、申报信息及资料留存</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纳税人办理汇算，适用个人所得税年度自行纳税申报表，如需修改本人相关基础信息，新增享受扣除或者税收优惠的，还应按规定一并填报相关信息。纳税人需仔细核对，确保所填信息真实、准确、完整。</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纳税人、代办汇算的单位，需各自将专项附加扣除、税收优惠材料等汇算相关资料，自汇算期结束之日起留存5年。</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存在股权（股票）激励（含境内企业以境外企业股权为标的对员工进行的股权激励）、职务科技成果转化现金奖励等情况的单位，应当按照相关规定报告、备案。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both"/>
        <w:rPr>
          <w:rStyle w:val="5"/>
          <w:rFonts w:hint="eastAsia" w:ascii="黑体" w:hAnsi="黑体" w:eastAsia="黑体" w:cs="黑体"/>
          <w:i w:val="0"/>
          <w:iCs w:val="0"/>
          <w:caps w:val="0"/>
          <w:color w:val="333333"/>
          <w:spacing w:val="0"/>
          <w:sz w:val="32"/>
          <w:szCs w:val="32"/>
          <w:shd w:val="clear" w:fill="FFFFFF"/>
        </w:rPr>
      </w:pPr>
      <w:r>
        <w:rPr>
          <w:rStyle w:val="5"/>
          <w:rFonts w:hint="eastAsia" w:ascii="黑体" w:hAnsi="黑体" w:eastAsia="黑体" w:cs="黑体"/>
          <w:i w:val="0"/>
          <w:iCs w:val="0"/>
          <w:caps w:val="0"/>
          <w:color w:val="333333"/>
          <w:spacing w:val="0"/>
          <w:sz w:val="32"/>
          <w:szCs w:val="32"/>
          <w:shd w:val="clear" w:fill="FFFFFF"/>
        </w:rPr>
        <w:t>九、受理申报的税务机关</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按照方便就近原则，纳税人自行办理或受托人为纳税人代为办理的，向纳税人任职受雇单位的主管税务机关申报；有两处及以上任职受雇单位的，可自主选择向其中一处申报。</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纳税人没有任职受雇单位的，向其户籍所在地、经常居住地或者主要收入来源地的主管税务机关申报。主要收入来源地，是指2022年向纳税人累计发放劳务报酬、稿酬及特许权使用费金额最大的扣缴义务人所在地。</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单位为纳税人代办汇算的，向单位的主管税务机关申报。</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为方便纳税服务和征收管理，汇算期结束后，税务部门将为尚未办理申报的纳税人确定其主管税务机关。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both"/>
        <w:rPr>
          <w:rStyle w:val="5"/>
          <w:rFonts w:hint="eastAsia" w:ascii="黑体" w:hAnsi="黑体" w:eastAsia="黑体" w:cs="黑体"/>
          <w:i w:val="0"/>
          <w:iCs w:val="0"/>
          <w:caps w:val="0"/>
          <w:color w:val="333333"/>
          <w:spacing w:val="0"/>
          <w:sz w:val="32"/>
          <w:szCs w:val="32"/>
          <w:shd w:val="clear" w:fill="FFFFFF"/>
        </w:rPr>
      </w:pPr>
      <w:r>
        <w:rPr>
          <w:rStyle w:val="5"/>
          <w:rFonts w:hint="eastAsia" w:ascii="黑体" w:hAnsi="黑体" w:eastAsia="黑体" w:cs="黑体"/>
          <w:i w:val="0"/>
          <w:iCs w:val="0"/>
          <w:caps w:val="0"/>
          <w:color w:val="333333"/>
          <w:spacing w:val="0"/>
          <w:sz w:val="32"/>
          <w:szCs w:val="32"/>
          <w:shd w:val="clear" w:fill="FFFFFF"/>
        </w:rPr>
        <w:t>十、退（补）税</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（一）办理退税</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纳税人申请汇算退税，应当提供其在中国境内开设的符合条件的银行账户。税务机关按规定审核后，按照国库管理有关规定办理税款退库。纳税人未提供本人有效银行账户，或者提供的信息资料有误的，税务机关将通知纳税人更正，纳税人按要求更正后依法办理退税。</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为方便办理退税，2022年综合所得全年收入额不超过6万元且已预缴个人所得税的纳税人，可选择使用个税 APP及网站提供的简易申报功能，便捷办理汇算退税。</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申请2022年度汇算退税的纳税人，如存在应当办理2021及以前年度汇算补税但未办理，或者经税务机关通知2021及以前年度汇算申报存在疑点但未更正或说明情况的，需在办理2021及以前年度汇算申报补税、更正申报或者说明有关情况后依法申请退税。</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（二）办理补税</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纳税人办理汇算补税的，可以通过网上银行、办税服务厅POS机刷卡、银行柜台、非银行支付机构等方式缴纳。邮寄申报并补税的，纳税人需通过个税APP及网站或者主管税务机关办税服务厅及时关注申报进度并缴纳税款。</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汇算需补税的纳税人，汇算期结束后未足额补缴税款的，税务机关将依法加收滞纳金，并在其个人所得税 《纳税记录》中予以标注。</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纳税人因申报信息填写错误造成汇算多退或少缴税款的，纳税人主动或经税务机关提醒后及时改正的，税务机关可以按照“首违不罚”原则免予处罚。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both"/>
        <w:rPr>
          <w:rStyle w:val="5"/>
          <w:rFonts w:hint="eastAsia" w:ascii="黑体" w:hAnsi="黑体" w:eastAsia="黑体" w:cs="黑体"/>
          <w:i w:val="0"/>
          <w:iCs w:val="0"/>
          <w:caps w:val="0"/>
          <w:color w:val="333333"/>
          <w:spacing w:val="0"/>
          <w:sz w:val="32"/>
          <w:szCs w:val="32"/>
          <w:shd w:val="clear" w:fill="FFFFFF"/>
        </w:rPr>
      </w:pPr>
      <w:r>
        <w:rPr>
          <w:rStyle w:val="5"/>
          <w:rFonts w:hint="eastAsia" w:ascii="黑体" w:hAnsi="黑体" w:eastAsia="黑体" w:cs="黑体"/>
          <w:i w:val="0"/>
          <w:iCs w:val="0"/>
          <w:caps w:val="0"/>
          <w:color w:val="333333"/>
          <w:spacing w:val="0"/>
          <w:sz w:val="32"/>
          <w:szCs w:val="32"/>
          <w:shd w:val="clear" w:fill="FFFFFF"/>
        </w:rPr>
        <w:t>十一、汇算服务</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税务机关推出系列优化服务措施，加强汇算的政策解读和操作辅导力度，分类编制办税指引，通俗解释政策口径、专业术语和操作流程，多渠道、多形式开展提示提醒服务，并通过个税APP及网站、12366纳税缴费服务平台等渠道提供涉税咨询，帮助纳税人解决疑难问题，积极回应纳税人诉求。</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汇算开始前，纳税人可登录个税APP及网站，查看自己的综合所得和纳税情况，核对银行卡、专项附加扣除涉及人员身份信息等基础资料，为汇算做好准备。</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为合理有序引导纳税人办理汇算，提升纳税人办理体验，主管税务机关将分批分期通知提醒纳税人在确定的时间段内办理。同时，税务部门推出预约办理服务，有汇算初期（3月1日至3月20日）办理需求的纳税人，可以根据自身情况，在2月16日后通过个税APP及网站预约上述时间段中的任意一天办理。3月21日至6月30日，纳税人无需预约，可以随时办理。</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lang w:val="en-US" w:eastAsia="zh-CN" w:bidi="ar"/>
        </w:rPr>
        <w:t>对符合汇算退税条件且生活负担较重的纳税人，税务机关提供优先退税服务。独立完成汇算存在困难的年长、行动不便等特殊人群提出申请，税务机关可提供个性化便民服务。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both"/>
        <w:rPr>
          <w:rStyle w:val="5"/>
          <w:rFonts w:hint="eastAsia" w:ascii="黑体" w:hAnsi="黑体" w:eastAsia="黑体" w:cs="黑体"/>
          <w:i w:val="0"/>
          <w:iCs w:val="0"/>
          <w:caps w:val="0"/>
          <w:color w:val="333333"/>
          <w:spacing w:val="0"/>
          <w:sz w:val="32"/>
          <w:szCs w:val="32"/>
          <w:shd w:val="clear" w:fill="FFFFFF"/>
        </w:rPr>
      </w:pPr>
      <w:r>
        <w:rPr>
          <w:rStyle w:val="5"/>
          <w:rFonts w:hint="eastAsia" w:ascii="黑体" w:hAnsi="黑体" w:eastAsia="黑体" w:cs="黑体"/>
          <w:i w:val="0"/>
          <w:iCs w:val="0"/>
          <w:caps w:val="0"/>
          <w:color w:val="333333"/>
          <w:spacing w:val="0"/>
          <w:sz w:val="32"/>
          <w:szCs w:val="32"/>
          <w:shd w:val="clear" w:fill="FFFFFF"/>
        </w:rPr>
        <w:t>十二、其他事项</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《国家税务总局关于个人所得税自行纳税申报有关问题公告》（2018年第62号）第一条、第四条与本公告不一致的，依照本公告执行。</w:t>
      </w:r>
    </w:p>
    <w:p>
      <w:pPr>
        <w:pStyle w:val="2"/>
        <w:keepNext w:val="0"/>
        <w:keepLines w:val="0"/>
        <w:widowControl/>
        <w:suppressLineNumbers w:val="0"/>
        <w:wordWrap w:val="0"/>
        <w:spacing w:before="0" w:beforeAutospacing="0" w:after="0" w:afterAutospacing="0" w:line="580" w:lineRule="atLeast"/>
        <w:ind w:left="0" w:right="0" w:firstLine="640"/>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特此公告。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华文仿宋" w:hAnsi="华文仿宋" w:eastAsia="华文仿宋" w:cs="华文仿宋"/>
          <w:i w:val="0"/>
          <w:caps w:val="0"/>
          <w:color w:val="auto"/>
          <w:spacing w:val="0"/>
          <w:sz w:val="31"/>
          <w:szCs w:val="31"/>
        </w:rPr>
      </w:pPr>
      <w:r>
        <w:rPr>
          <w:rFonts w:hint="eastAsia" w:ascii="仿宋" w:hAnsi="仿宋" w:eastAsia="仿宋" w:cs="仿宋"/>
          <w:b/>
          <w:color w:val="000000" w:themeColor="text1"/>
          <w:kern w:val="2"/>
          <w:sz w:val="32"/>
          <w:szCs w:val="32"/>
          <w:lang w:val="en-US" w:eastAsia="zh-CN" w:bidi="ar-SA"/>
          <w14:textFill>
            <w14:solidFill>
              <w14:schemeClr w14:val="tx1"/>
            </w14:solidFill>
          </w14:textFill>
        </w:rPr>
        <w:t>附件</w:t>
      </w:r>
      <w:r>
        <w:rPr>
          <w:rFonts w:hint="eastAsia" w:ascii="仿宋" w:hAnsi="仿宋" w:eastAsia="仿宋" w:cs="仿宋"/>
          <w:i w:val="0"/>
          <w:caps w:val="0"/>
          <w:color w:val="auto"/>
          <w:spacing w:val="0"/>
          <w:sz w:val="32"/>
          <w:szCs w:val="32"/>
        </w:rPr>
        <w:t>：</w:t>
      </w:r>
      <w:r>
        <w:rPr>
          <w:rFonts w:hint="eastAsia" w:ascii="仿宋" w:hAnsi="仿宋" w:eastAsia="仿宋" w:cs="仿宋"/>
          <w:i w:val="0"/>
          <w:caps w:val="0"/>
          <w:color w:val="auto"/>
          <w:spacing w:val="0"/>
          <w:sz w:val="32"/>
          <w:szCs w:val="32"/>
        </w:rPr>
        <w:fldChar w:fldCharType="begin"/>
      </w:r>
      <w:r>
        <w:rPr>
          <w:rFonts w:hint="eastAsia" w:ascii="仿宋" w:hAnsi="仿宋" w:eastAsia="仿宋" w:cs="仿宋"/>
          <w:i w:val="0"/>
          <w:caps w:val="0"/>
          <w:color w:val="auto"/>
          <w:spacing w:val="0"/>
          <w:sz w:val="32"/>
          <w:szCs w:val="32"/>
        </w:rPr>
        <w:instrText xml:space="preserve"> HYPERLINK "http://www.chinatax.gov.cn/chinatax/n810341/n810755/c5142065/5142065/files/84f8df3537a54204828d00954931c2fc.doc" \t "_blank" </w:instrText>
      </w:r>
      <w:r>
        <w:rPr>
          <w:rFonts w:hint="eastAsia" w:ascii="仿宋" w:hAnsi="仿宋" w:eastAsia="仿宋" w:cs="仿宋"/>
          <w:i w:val="0"/>
          <w:caps w:val="0"/>
          <w:color w:val="auto"/>
          <w:spacing w:val="0"/>
          <w:sz w:val="32"/>
          <w:szCs w:val="32"/>
        </w:rPr>
        <w:fldChar w:fldCharType="separate"/>
      </w:r>
      <w:r>
        <w:rPr>
          <w:rFonts w:hint="eastAsia" w:ascii="仿宋" w:hAnsi="仿宋" w:eastAsia="仿宋" w:cs="仿宋"/>
          <w:i w:val="0"/>
          <w:caps w:val="0"/>
          <w:color w:val="auto"/>
          <w:spacing w:val="0"/>
          <w:sz w:val="32"/>
          <w:szCs w:val="32"/>
        </w:rPr>
        <w:t>个人所得税税率表（综合所得适用）</w:t>
      </w:r>
      <w:r>
        <w:rPr>
          <w:rFonts w:hint="eastAsia" w:ascii="仿宋" w:hAnsi="仿宋" w:eastAsia="仿宋" w:cs="仿宋"/>
          <w:i w:val="0"/>
          <w:caps w:val="0"/>
          <w:color w:val="auto"/>
          <w:spacing w:val="0"/>
          <w:sz w:val="32"/>
          <w:szCs w:val="32"/>
        </w:rPr>
        <w:fldChar w:fldCharType="end"/>
      </w:r>
      <w:bookmarkStart w:id="0" w:name="_GoBack"/>
      <w:bookmarkEnd w:id="0"/>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645" w:leftChars="0" w:right="0" w:rightChars="0"/>
        <w:jc w:val="both"/>
        <w:rPr>
          <w:rFonts w:hint="eastAsia" w:ascii="华文仿宋" w:hAnsi="华文仿宋" w:eastAsia="华文仿宋" w:cs="华文仿宋"/>
          <w:i w:val="0"/>
          <w:caps w:val="0"/>
          <w:color w:val="auto"/>
          <w:spacing w:val="0"/>
          <w:sz w:val="31"/>
          <w:szCs w:val="31"/>
          <w:lang w:val="en-US" w:eastAsia="zh-CN"/>
        </w:rPr>
      </w:pPr>
      <w:r>
        <w:rPr>
          <w:rFonts w:ascii="微软雅黑" w:hAnsi="微软雅黑" w:eastAsia="微软雅黑" w:cs="宋体"/>
          <w:color w:val="333333"/>
          <w:kern w:val="0"/>
          <w:sz w:val="24"/>
          <w:szCs w:val="24"/>
        </w:rPr>
        <w:drawing>
          <wp:inline distT="0" distB="0" distL="0" distR="0">
            <wp:extent cx="5274310" cy="4653280"/>
            <wp:effectExtent l="0" t="0" r="2540" b="13970"/>
            <wp:docPr id="1" name="图片 1" descr="D:\My Documents\WeChat Files\qq1474514787\FileStorage\Temp\ec02ae4628d23bd5ac166e7dba4a6a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My Documents\WeChat Files\qq1474514787\FileStorage\Temp\ec02ae4628d23bd5ac166e7dba4a6af1.jpg"/>
                    <pic:cNvPicPr>
                      <a:picLocks noChangeAspect="1" noChangeArrowheads="1"/>
                    </pic:cNvPicPr>
                  </pic:nvPicPr>
                  <pic:blipFill>
                    <a:blip r:embed="rId4" cstate="print"/>
                    <a:srcRect/>
                    <a:stretch>
                      <a:fillRect/>
                    </a:stretch>
                  </pic:blipFill>
                  <pic:spPr>
                    <a:xfrm>
                      <a:off x="0" y="0"/>
                      <a:ext cx="5274310" cy="4653803"/>
                    </a:xfrm>
                    <a:prstGeom prst="rect">
                      <a:avLst/>
                    </a:prstGeom>
                    <a:noFill/>
                    <a:ln w="9525">
                      <a:noFill/>
                      <a:miter lim="800000"/>
                      <a:headEnd/>
                      <a:tailEnd/>
                    </a:ln>
                  </pic:spPr>
                </pic:pic>
              </a:graphicData>
            </a:graphic>
          </wp:inline>
        </w:drawing>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rightChars="0"/>
        <w:jc w:val="both"/>
        <w:rPr>
          <w:rFonts w:hint="eastAsia" w:ascii="华文仿宋" w:hAnsi="华文仿宋" w:eastAsia="华文仿宋" w:cs="华文仿宋"/>
          <w:i w:val="0"/>
          <w:caps w:val="0"/>
          <w:color w:val="auto"/>
          <w:spacing w:val="0"/>
          <w:sz w:val="31"/>
          <w:szCs w:val="31"/>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right"/>
        <w:rPr>
          <w:rFonts w:hint="eastAsia" w:ascii="华文仿宋" w:hAnsi="华文仿宋" w:eastAsia="华文仿宋" w:cs="华文仿宋"/>
          <w:i w:val="0"/>
          <w:caps w:val="0"/>
          <w:color w:val="auto"/>
          <w:spacing w:val="0"/>
          <w:sz w:val="31"/>
          <w:szCs w:val="31"/>
          <w:lang w:val="en-US" w:eastAsia="zh-CN"/>
        </w:rPr>
      </w:pPr>
      <w:r>
        <w:rPr>
          <w:rFonts w:hint="eastAsia" w:ascii="华文仿宋" w:hAnsi="华文仿宋" w:eastAsia="华文仿宋" w:cs="华文仿宋"/>
          <w:i w:val="0"/>
          <w:caps w:val="0"/>
          <w:color w:val="auto"/>
          <w:spacing w:val="0"/>
          <w:sz w:val="31"/>
          <w:szCs w:val="31"/>
          <w:lang w:val="en-US" w:eastAsia="zh-CN"/>
        </w:rPr>
        <w:t>国家税务总局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right"/>
      </w:pPr>
      <w:r>
        <w:rPr>
          <w:rFonts w:hint="eastAsia" w:ascii="华文仿宋" w:hAnsi="华文仿宋" w:eastAsia="华文仿宋" w:cs="华文仿宋"/>
          <w:i w:val="0"/>
          <w:caps w:val="0"/>
          <w:color w:val="auto"/>
          <w:spacing w:val="0"/>
          <w:sz w:val="31"/>
          <w:szCs w:val="31"/>
          <w:lang w:val="en-US" w:eastAsia="zh-CN"/>
        </w:rPr>
        <w:t>2023年2月2日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1NWNiOGNjZGExOTBmNTMxYWY0NDIwY2YxZWY1Y2MifQ=="/>
  </w:docVars>
  <w:rsids>
    <w:rsidRoot w:val="00000000"/>
    <w:rsid w:val="180273D1"/>
    <w:rsid w:val="2226631B"/>
    <w:rsid w:val="2AFB67BC"/>
    <w:rsid w:val="2CD853C5"/>
    <w:rsid w:val="433C64D2"/>
    <w:rsid w:val="46342371"/>
    <w:rsid w:val="6219264F"/>
    <w:rsid w:val="6C83587F"/>
    <w:rsid w:val="6D777F3C"/>
    <w:rsid w:val="799E6B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3114</Words>
  <Characters>3220</Characters>
  <Lines>0</Lines>
  <Paragraphs>0</Paragraphs>
  <TotalTime>23</TotalTime>
  <ScaleCrop>false</ScaleCrop>
  <LinksUpToDate>false</LinksUpToDate>
  <CharactersWithSpaces>3223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JEEP</cp:lastModifiedBy>
  <dcterms:modified xsi:type="dcterms:W3CDTF">2023-04-27T00:24:06Z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5EAB94103B8A41878D1A0E7AD26C3A57_13</vt:lpwstr>
  </property>
</Properties>
</file>